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ED" w:rsidRPr="00173417" w:rsidRDefault="007661ED" w:rsidP="007661ED">
      <w:pPr>
        <w:pStyle w:val="NoSpacing"/>
        <w:tabs>
          <w:tab w:val="left" w:pos="9826"/>
        </w:tabs>
        <w:ind w:right="29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</w:t>
      </w:r>
      <w:r w:rsidRPr="00EA3B1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7661ED" w:rsidRDefault="007661ED" w:rsidP="007661E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 w:rsidRPr="00EA3B1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к Инструкции о регистрации </w:t>
      </w:r>
    </w:p>
    <w:p w:rsidR="007661ED" w:rsidRDefault="007661ED" w:rsidP="007661E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облигаций, выпущенных органами </w:t>
      </w:r>
    </w:p>
    <w:p w:rsidR="007661ED" w:rsidRPr="00004A39" w:rsidRDefault="007661ED" w:rsidP="007661E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публичного управления </w:t>
      </w:r>
    </w:p>
    <w:p w:rsidR="007661ED" w:rsidRPr="00AB000A" w:rsidRDefault="007661ED" w:rsidP="007661ED">
      <w:pPr>
        <w:jc w:val="right"/>
        <w:rPr>
          <w:rFonts w:ascii="Times New Roman" w:eastAsia="Arial Unicode MS" w:hAnsi="Times New Roman"/>
          <w:color w:val="000000"/>
          <w:lang w:val="ro-RO"/>
        </w:rPr>
      </w:pPr>
    </w:p>
    <w:p w:rsidR="007661ED" w:rsidRPr="00177F49" w:rsidRDefault="007661ED" w:rsidP="007661ED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lang w:val="ro-RO"/>
        </w:rPr>
      </w:pPr>
      <w:r w:rsidRPr="00AB000A">
        <w:rPr>
          <w:lang w:val="ro-RO"/>
        </w:rPr>
        <w:t xml:space="preserve"> </w:t>
      </w:r>
      <w:r w:rsidRPr="002A3E9E">
        <w:rPr>
          <w:rFonts w:ascii="Times New Roman" w:hAnsi="Times New Roman"/>
          <w:b/>
          <w:sz w:val="28"/>
          <w:szCs w:val="28"/>
        </w:rPr>
        <w:t xml:space="preserve">Требования  к составлению Резюме к проспекту </w:t>
      </w:r>
      <w:r>
        <w:rPr>
          <w:rFonts w:ascii="Times New Roman" w:hAnsi="Times New Roman"/>
          <w:b/>
          <w:sz w:val="28"/>
          <w:szCs w:val="28"/>
        </w:rPr>
        <w:t xml:space="preserve">публичного предложения </w:t>
      </w:r>
    </w:p>
    <w:p w:rsidR="007661ED" w:rsidRPr="00177F49" w:rsidRDefault="007661ED" w:rsidP="007661ED">
      <w:pPr>
        <w:pStyle w:val="NoSpacing"/>
        <w:ind w:left="-284" w:hanging="283"/>
        <w:jc w:val="both"/>
        <w:rPr>
          <w:rFonts w:ascii="Times New Roman" w:hAnsi="Times New Roman"/>
          <w:sz w:val="28"/>
          <w:szCs w:val="28"/>
          <w:lang w:val="ro-RO"/>
        </w:rPr>
      </w:pPr>
      <w:r w:rsidRPr="00177F49">
        <w:rPr>
          <w:rFonts w:ascii="Times New Roman" w:hAnsi="Times New Roman"/>
          <w:b/>
          <w:sz w:val="28"/>
          <w:szCs w:val="28"/>
          <w:lang w:val="ro-RO"/>
        </w:rPr>
        <w:t xml:space="preserve">1. </w:t>
      </w:r>
      <w:r w:rsidRPr="00C224C2">
        <w:rPr>
          <w:rFonts w:ascii="Times New Roman" w:hAnsi="Times New Roman"/>
          <w:sz w:val="28"/>
          <w:szCs w:val="28"/>
        </w:rPr>
        <w:t>Р</w:t>
      </w:r>
      <w:r w:rsidRPr="002A3E9E">
        <w:rPr>
          <w:rFonts w:ascii="Times New Roman" w:hAnsi="Times New Roman"/>
          <w:sz w:val="28"/>
          <w:szCs w:val="28"/>
        </w:rPr>
        <w:t>езюме должн</w:t>
      </w:r>
      <w:r>
        <w:rPr>
          <w:rFonts w:ascii="Times New Roman" w:hAnsi="Times New Roman"/>
          <w:sz w:val="28"/>
          <w:szCs w:val="28"/>
        </w:rPr>
        <w:t>ы</w:t>
      </w:r>
      <w:r w:rsidRPr="002A3E9E">
        <w:rPr>
          <w:rFonts w:ascii="Times New Roman" w:hAnsi="Times New Roman"/>
          <w:sz w:val="28"/>
          <w:szCs w:val="28"/>
        </w:rPr>
        <w:t xml:space="preserve"> быть составлен</w:t>
      </w:r>
      <w:r>
        <w:rPr>
          <w:rFonts w:ascii="Times New Roman" w:hAnsi="Times New Roman"/>
          <w:sz w:val="28"/>
          <w:szCs w:val="28"/>
        </w:rPr>
        <w:t>ы</w:t>
      </w:r>
      <w:r w:rsidRPr="002A3E9E">
        <w:rPr>
          <w:rFonts w:ascii="Times New Roman" w:hAnsi="Times New Roman"/>
          <w:sz w:val="28"/>
          <w:szCs w:val="28"/>
        </w:rPr>
        <w:t xml:space="preserve"> из 5 разделов (A-E), согласно нижеследующей детализации</w:t>
      </w:r>
      <w:r w:rsidRPr="00177F49">
        <w:rPr>
          <w:rFonts w:ascii="Times New Roman" w:hAnsi="Times New Roman"/>
          <w:sz w:val="28"/>
          <w:szCs w:val="28"/>
          <w:lang w:val="ro-RO"/>
        </w:rPr>
        <w:t>.</w:t>
      </w:r>
    </w:p>
    <w:p w:rsidR="007661ED" w:rsidRPr="00177F49" w:rsidRDefault="007661ED" w:rsidP="007661ED">
      <w:pPr>
        <w:pStyle w:val="NoSpacing"/>
        <w:ind w:left="-284" w:hanging="283"/>
        <w:jc w:val="both"/>
        <w:rPr>
          <w:rFonts w:ascii="Times New Roman" w:hAnsi="Times New Roman"/>
          <w:sz w:val="28"/>
          <w:szCs w:val="28"/>
          <w:lang w:val="ro-RO"/>
        </w:rPr>
      </w:pPr>
      <w:r w:rsidRPr="00177F49">
        <w:rPr>
          <w:rFonts w:ascii="Times New Roman" w:hAnsi="Times New Roman"/>
          <w:b/>
          <w:sz w:val="28"/>
          <w:szCs w:val="28"/>
          <w:lang w:val="ro-RO"/>
        </w:rPr>
        <w:t xml:space="preserve">2. </w:t>
      </w:r>
      <w:r w:rsidRPr="00177F49">
        <w:rPr>
          <w:rFonts w:ascii="Times New Roman" w:hAnsi="Times New Roman"/>
          <w:sz w:val="28"/>
          <w:szCs w:val="28"/>
          <w:lang w:val="ro-RO"/>
        </w:rPr>
        <w:t> </w:t>
      </w:r>
      <w:r w:rsidRPr="002A3E9E">
        <w:rPr>
          <w:rFonts w:ascii="Times New Roman" w:hAnsi="Times New Roman"/>
          <w:sz w:val="28"/>
          <w:szCs w:val="28"/>
        </w:rPr>
        <w:t>Порядок разделов A-E является обязательным. В каждом разделе элементы должны быть представлены в порядке, в котором они показаны в таблицах</w:t>
      </w:r>
      <w:r w:rsidRPr="00177F49">
        <w:rPr>
          <w:rFonts w:ascii="Times New Roman" w:hAnsi="Times New Roman"/>
          <w:sz w:val="28"/>
          <w:szCs w:val="28"/>
          <w:lang w:val="ro-RO"/>
        </w:rPr>
        <w:t>.</w:t>
      </w:r>
    </w:p>
    <w:p w:rsidR="007661ED" w:rsidRPr="00F25BED" w:rsidRDefault="007661ED" w:rsidP="007661ED">
      <w:pPr>
        <w:pStyle w:val="NoSpacing"/>
        <w:ind w:left="-284" w:hanging="283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77F49">
        <w:rPr>
          <w:rFonts w:ascii="Times New Roman" w:hAnsi="Times New Roman"/>
          <w:b/>
          <w:sz w:val="28"/>
          <w:szCs w:val="28"/>
          <w:lang w:val="ro-RO"/>
        </w:rPr>
        <w:t>3.</w:t>
      </w:r>
      <w:r w:rsidRPr="00177F49">
        <w:rPr>
          <w:rFonts w:ascii="Times New Roman" w:hAnsi="Times New Roman"/>
          <w:sz w:val="28"/>
          <w:szCs w:val="28"/>
          <w:lang w:val="ro-RO"/>
        </w:rPr>
        <w:t xml:space="preserve">  </w:t>
      </w:r>
      <w:r w:rsidRPr="002A3E9E">
        <w:rPr>
          <w:rFonts w:ascii="Times New Roman" w:hAnsi="Times New Roman"/>
          <w:sz w:val="28"/>
          <w:szCs w:val="28"/>
        </w:rPr>
        <w:t xml:space="preserve">В случае если какой-либо элемент не применяется к проспекту, данный элемент указывается в резюме и </w:t>
      </w:r>
      <w:proofErr w:type="gramStart"/>
      <w:r w:rsidRPr="002A3E9E">
        <w:rPr>
          <w:rFonts w:ascii="Times New Roman" w:hAnsi="Times New Roman"/>
          <w:sz w:val="28"/>
          <w:szCs w:val="28"/>
        </w:rPr>
        <w:t xml:space="preserve">сопровождается примечанием </w:t>
      </w:r>
      <w:r w:rsidRPr="00F25BED">
        <w:rPr>
          <w:rFonts w:ascii="Times New Roman" w:hAnsi="Times New Roman"/>
          <w:b/>
          <w:sz w:val="28"/>
          <w:szCs w:val="28"/>
        </w:rPr>
        <w:t>„не применяется</w:t>
      </w:r>
      <w:proofErr w:type="gramEnd"/>
      <w:r w:rsidRPr="00F25BED">
        <w:rPr>
          <w:rFonts w:ascii="Times New Roman" w:hAnsi="Times New Roman"/>
          <w:b/>
          <w:sz w:val="28"/>
          <w:szCs w:val="28"/>
        </w:rPr>
        <w:t>”.</w:t>
      </w:r>
    </w:p>
    <w:p w:rsidR="007661ED" w:rsidRPr="00177F49" w:rsidRDefault="007661ED" w:rsidP="007661ED">
      <w:pPr>
        <w:pStyle w:val="NoSpacing"/>
        <w:ind w:hanging="567"/>
        <w:jc w:val="both"/>
        <w:rPr>
          <w:rFonts w:ascii="Times New Roman" w:hAnsi="Times New Roman"/>
          <w:sz w:val="28"/>
          <w:szCs w:val="28"/>
          <w:lang w:val="ro-RO"/>
        </w:rPr>
      </w:pPr>
      <w:r w:rsidRPr="00177F49">
        <w:rPr>
          <w:rFonts w:ascii="Times New Roman" w:hAnsi="Times New Roman"/>
          <w:b/>
          <w:sz w:val="28"/>
          <w:szCs w:val="28"/>
          <w:lang w:val="ro-RO"/>
        </w:rPr>
        <w:t xml:space="preserve">4. </w:t>
      </w:r>
      <w:r w:rsidRPr="00177F49">
        <w:rPr>
          <w:rFonts w:ascii="Times New Roman" w:hAnsi="Times New Roman"/>
          <w:sz w:val="28"/>
          <w:szCs w:val="28"/>
          <w:lang w:val="ro-RO"/>
        </w:rPr>
        <w:t> </w:t>
      </w:r>
      <w:r w:rsidRPr="002A3E9E">
        <w:rPr>
          <w:rFonts w:ascii="Times New Roman" w:hAnsi="Times New Roman"/>
          <w:sz w:val="28"/>
          <w:szCs w:val="28"/>
        </w:rPr>
        <w:t>В той мере, в какой это необходимо для элемента, описания должны быть кр</w:t>
      </w:r>
      <w:r>
        <w:rPr>
          <w:rFonts w:ascii="Times New Roman" w:hAnsi="Times New Roman"/>
          <w:sz w:val="28"/>
          <w:szCs w:val="28"/>
        </w:rPr>
        <w:t>а</w:t>
      </w:r>
      <w:r w:rsidRPr="002A3E9E">
        <w:rPr>
          <w:rFonts w:ascii="Times New Roman" w:hAnsi="Times New Roman"/>
          <w:sz w:val="28"/>
          <w:szCs w:val="28"/>
        </w:rPr>
        <w:t>ткими</w:t>
      </w:r>
      <w:r w:rsidRPr="00177F49">
        <w:rPr>
          <w:rFonts w:ascii="Times New Roman" w:hAnsi="Times New Roman"/>
          <w:sz w:val="28"/>
          <w:szCs w:val="28"/>
          <w:lang w:val="ro-RO"/>
        </w:rPr>
        <w:t>.</w:t>
      </w:r>
    </w:p>
    <w:p w:rsidR="007661ED" w:rsidRPr="00177F49" w:rsidRDefault="007661ED" w:rsidP="007661ED">
      <w:pPr>
        <w:pStyle w:val="NoSpacing"/>
        <w:ind w:hanging="567"/>
        <w:jc w:val="both"/>
        <w:rPr>
          <w:rFonts w:ascii="Times New Roman" w:hAnsi="Times New Roman"/>
          <w:sz w:val="28"/>
          <w:szCs w:val="28"/>
          <w:lang w:val="ro-RO"/>
        </w:rPr>
      </w:pPr>
      <w:r w:rsidRPr="00177F49">
        <w:rPr>
          <w:rFonts w:ascii="Times New Roman" w:hAnsi="Times New Roman"/>
          <w:b/>
          <w:sz w:val="28"/>
          <w:szCs w:val="28"/>
          <w:lang w:val="ro-RO"/>
        </w:rPr>
        <w:t>5.</w:t>
      </w:r>
      <w:r w:rsidRPr="00177F49"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2A3E9E">
        <w:rPr>
          <w:rFonts w:ascii="Times New Roman" w:hAnsi="Times New Roman"/>
          <w:sz w:val="28"/>
          <w:szCs w:val="28"/>
        </w:rPr>
        <w:t>Резюме не должны содержать ссылки на определенные части проспекта</w:t>
      </w:r>
      <w:r w:rsidRPr="00177F49">
        <w:rPr>
          <w:rFonts w:ascii="Times New Roman" w:hAnsi="Times New Roman"/>
          <w:sz w:val="28"/>
          <w:szCs w:val="28"/>
          <w:lang w:val="ro-RO"/>
        </w:rPr>
        <w:t>.</w:t>
      </w:r>
    </w:p>
    <w:p w:rsidR="007661ED" w:rsidRPr="00177F49" w:rsidRDefault="007661ED" w:rsidP="007661ED">
      <w:pPr>
        <w:pStyle w:val="NoSpacing"/>
        <w:ind w:left="-284" w:hanging="283"/>
        <w:jc w:val="both"/>
        <w:rPr>
          <w:rFonts w:ascii="Times New Roman" w:hAnsi="Times New Roman"/>
          <w:sz w:val="28"/>
          <w:szCs w:val="28"/>
          <w:lang w:val="ro-RO"/>
        </w:rPr>
      </w:pPr>
      <w:r w:rsidRPr="00177F49">
        <w:rPr>
          <w:rFonts w:ascii="Times New Roman" w:hAnsi="Times New Roman"/>
          <w:b/>
          <w:sz w:val="28"/>
          <w:szCs w:val="28"/>
          <w:lang w:val="ro-RO"/>
        </w:rPr>
        <w:t>6.</w:t>
      </w:r>
      <w:r w:rsidRPr="00177F49">
        <w:rPr>
          <w:rFonts w:ascii="Times New Roman" w:hAnsi="Times New Roman"/>
          <w:sz w:val="28"/>
          <w:szCs w:val="28"/>
          <w:lang w:val="ro-RO"/>
        </w:rPr>
        <w:t xml:space="preserve">  </w:t>
      </w:r>
      <w:r w:rsidRPr="002A3E9E">
        <w:rPr>
          <w:rFonts w:ascii="Times New Roman" w:hAnsi="Times New Roman"/>
          <w:sz w:val="28"/>
          <w:szCs w:val="28"/>
        </w:rPr>
        <w:t xml:space="preserve">В случае, когда эмитент не обязан представить проспект, но желает представить раздел для общего представления предлагаемых </w:t>
      </w:r>
      <w:r>
        <w:rPr>
          <w:rFonts w:ascii="Times New Roman" w:hAnsi="Times New Roman"/>
          <w:sz w:val="28"/>
          <w:szCs w:val="28"/>
        </w:rPr>
        <w:t>облигаций</w:t>
      </w:r>
      <w:r w:rsidRPr="002A3E9E">
        <w:rPr>
          <w:rFonts w:ascii="Times New Roman" w:hAnsi="Times New Roman"/>
          <w:sz w:val="28"/>
          <w:szCs w:val="28"/>
        </w:rPr>
        <w:t>, он должен удостовериться, что раздел не называется резюме, если только он не отвечает всем требованиям к составлению резюме</w:t>
      </w:r>
      <w:r w:rsidRPr="00177F49">
        <w:rPr>
          <w:rFonts w:ascii="Times New Roman" w:hAnsi="Times New Roman"/>
          <w:sz w:val="28"/>
          <w:szCs w:val="28"/>
          <w:lang w:val="ro-RO"/>
        </w:rPr>
        <w:t>.</w:t>
      </w:r>
    </w:p>
    <w:p w:rsidR="007661ED" w:rsidRPr="00177F49" w:rsidRDefault="007661ED" w:rsidP="007661ED">
      <w:pPr>
        <w:pStyle w:val="norm"/>
        <w:ind w:left="-567"/>
        <w:jc w:val="both"/>
        <w:rPr>
          <w:b/>
          <w:sz w:val="28"/>
          <w:szCs w:val="28"/>
          <w:lang w:val="ro-RO"/>
        </w:rPr>
      </w:pPr>
      <w:r w:rsidRPr="00177F49">
        <w:rPr>
          <w:rStyle w:val="italics"/>
          <w:b/>
          <w:sz w:val="28"/>
          <w:szCs w:val="28"/>
          <w:lang w:val="ro-RO"/>
        </w:rPr>
        <w:t xml:space="preserve"> </w:t>
      </w:r>
      <w:r w:rsidRPr="002A3E9E">
        <w:rPr>
          <w:rStyle w:val="italics"/>
          <w:b/>
          <w:sz w:val="28"/>
          <w:szCs w:val="28"/>
        </w:rPr>
        <w:t>Раздел A –</w:t>
      </w:r>
      <w:r w:rsidRPr="002A3E9E">
        <w:rPr>
          <w:b/>
          <w:sz w:val="28"/>
          <w:szCs w:val="28"/>
        </w:rPr>
        <w:t xml:space="preserve">  Введение и предупреждения </w:t>
      </w:r>
    </w:p>
    <w:tbl>
      <w:tblPr>
        <w:tblW w:w="9781" w:type="dxa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8788"/>
      </w:tblGrid>
      <w:tr w:rsidR="007661ED" w:rsidRPr="00177F49" w:rsidTr="006366D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2A3E9E" w:rsidRDefault="007661ED" w:rsidP="006366DA">
            <w:pPr>
              <w:pStyle w:val="tbl-norm"/>
              <w:rPr>
                <w:b/>
                <w:bCs/>
                <w:sz w:val="28"/>
                <w:szCs w:val="28"/>
                <w:lang w:val="ru-RU"/>
              </w:rPr>
            </w:pPr>
            <w:r w:rsidRPr="002A3E9E">
              <w:rPr>
                <w:b/>
                <w:bCs/>
                <w:sz w:val="28"/>
                <w:szCs w:val="28"/>
                <w:lang w:val="ru-RU"/>
              </w:rPr>
              <w:t>Элемент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norm"/>
              <w:rPr>
                <w:b/>
                <w:bCs/>
                <w:sz w:val="28"/>
                <w:szCs w:val="28"/>
                <w:lang w:val="ro-RO"/>
              </w:rPr>
            </w:pPr>
            <w:r w:rsidRPr="002A3E9E">
              <w:rPr>
                <w:b/>
                <w:bCs/>
                <w:sz w:val="28"/>
                <w:szCs w:val="28"/>
                <w:lang w:val="ru-RU"/>
              </w:rPr>
              <w:t>Требовани</w:t>
            </w:r>
            <w:r>
              <w:rPr>
                <w:b/>
                <w:bCs/>
                <w:sz w:val="28"/>
                <w:szCs w:val="28"/>
                <w:lang w:val="ru-RU"/>
              </w:rPr>
              <w:t>е</w:t>
            </w:r>
            <w:r w:rsidRPr="002A3E9E">
              <w:rPr>
                <w:b/>
                <w:bCs/>
                <w:sz w:val="28"/>
                <w:szCs w:val="28"/>
                <w:lang w:val="ru-RU"/>
              </w:rPr>
              <w:t xml:space="preserve"> к рекламе</w:t>
            </w:r>
            <w:r w:rsidRPr="00177F49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7661ED" w:rsidRPr="00177F49" w:rsidTr="006366DA">
        <w:trPr>
          <w:trHeight w:val="381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left"/>
              <w:rPr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sz w:val="28"/>
                <w:szCs w:val="28"/>
                <w:lang w:val="ro-RO"/>
              </w:rPr>
              <w:t>A.1</w:t>
            </w:r>
            <w:r w:rsidRPr="00177F49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norm"/>
              <w:spacing w:before="0" w:beforeAutospacing="0" w:after="0" w:afterAutospacing="0"/>
              <w:rPr>
                <w:sz w:val="28"/>
                <w:szCs w:val="28"/>
                <w:lang w:val="ro-RO" w:eastAsia="ru-RU"/>
              </w:rPr>
            </w:pPr>
            <w:r w:rsidRPr="004225D2">
              <w:rPr>
                <w:sz w:val="28"/>
                <w:szCs w:val="28"/>
                <w:lang w:val="ru-RU"/>
              </w:rPr>
              <w:t>Предупреждение читателю о том, что</w:t>
            </w:r>
            <w:r w:rsidRPr="00177F49">
              <w:rPr>
                <w:sz w:val="28"/>
                <w:szCs w:val="28"/>
                <w:lang w:val="ro-RO" w:eastAsia="ru-RU"/>
              </w:rPr>
              <w:t>:</w:t>
            </w:r>
          </w:p>
          <w:p w:rsidR="007661ED" w:rsidRPr="00177F49" w:rsidRDefault="007661ED" w:rsidP="007661ED">
            <w:pPr>
              <w:pStyle w:val="item-none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  <w:lang w:val="ro-RO" w:eastAsia="ru-RU"/>
              </w:rPr>
            </w:pPr>
            <w:r w:rsidRPr="004225D2">
              <w:rPr>
                <w:sz w:val="28"/>
                <w:szCs w:val="28"/>
                <w:lang w:val="ru-RU"/>
              </w:rPr>
              <w:t>[данное] резюме читается как введение в проспект</w:t>
            </w:r>
            <w:r w:rsidRPr="00177F49">
              <w:rPr>
                <w:sz w:val="28"/>
                <w:szCs w:val="28"/>
                <w:lang w:val="ro-RO" w:eastAsia="ru-RU"/>
              </w:rPr>
              <w:t>;</w:t>
            </w:r>
          </w:p>
          <w:p w:rsidR="007661ED" w:rsidRPr="009E3782" w:rsidRDefault="007661ED" w:rsidP="006366DA">
            <w:pPr>
              <w:pStyle w:val="Heading1"/>
              <w:ind w:left="96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2A3E9E">
              <w:rPr>
                <w:rFonts w:ascii="Times New Roman" w:hAnsi="Times New Roman"/>
                <w:sz w:val="28"/>
                <w:szCs w:val="28"/>
              </w:rPr>
              <w:t>любое</w:t>
            </w:r>
            <w:proofErr w:type="spellEnd"/>
            <w:r w:rsidRPr="002A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E9E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2A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E9E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  <w:r w:rsidRPr="002A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E9E">
              <w:rPr>
                <w:rFonts w:ascii="Times New Roman" w:hAnsi="Times New Roman"/>
                <w:sz w:val="28"/>
                <w:szCs w:val="28"/>
              </w:rPr>
              <w:t>инвестировании</w:t>
            </w:r>
            <w:proofErr w:type="spellEnd"/>
            <w:r w:rsidRPr="002A3E9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A3E9E">
              <w:rPr>
                <w:rFonts w:ascii="Times New Roman" w:hAnsi="Times New Roman"/>
                <w:sz w:val="28"/>
                <w:szCs w:val="28"/>
              </w:rPr>
              <w:t>соответствующие</w:t>
            </w:r>
            <w:proofErr w:type="spellEnd"/>
            <w:r w:rsidRPr="002A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облигации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E9E">
              <w:rPr>
                <w:rFonts w:ascii="Times New Roman" w:hAnsi="Times New Roman"/>
                <w:sz w:val="28"/>
                <w:szCs w:val="28"/>
              </w:rPr>
              <w:t>должно</w:t>
            </w:r>
            <w:proofErr w:type="spellEnd"/>
            <w:r w:rsidRPr="002A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E9E">
              <w:rPr>
                <w:rFonts w:ascii="Times New Roman" w:hAnsi="Times New Roman"/>
                <w:sz w:val="28"/>
                <w:szCs w:val="28"/>
              </w:rPr>
              <w:t>основываться</w:t>
            </w:r>
            <w:proofErr w:type="spellEnd"/>
            <w:r w:rsidRPr="002A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E9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2A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E9E">
              <w:rPr>
                <w:rFonts w:ascii="Times New Roman" w:hAnsi="Times New Roman"/>
                <w:sz w:val="28"/>
                <w:szCs w:val="28"/>
              </w:rPr>
              <w:t>исчерпывающем</w:t>
            </w:r>
            <w:proofErr w:type="spellEnd"/>
            <w:r w:rsidRPr="002A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E9E">
              <w:rPr>
                <w:rFonts w:ascii="Times New Roman" w:hAnsi="Times New Roman"/>
                <w:sz w:val="28"/>
                <w:szCs w:val="28"/>
              </w:rPr>
              <w:t>рассмотрении</w:t>
            </w:r>
            <w:proofErr w:type="spellEnd"/>
            <w:r w:rsidRPr="002A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E9E">
              <w:rPr>
                <w:rFonts w:ascii="Times New Roman" w:hAnsi="Times New Roman"/>
                <w:sz w:val="28"/>
                <w:szCs w:val="28"/>
              </w:rPr>
              <w:t>проспекта</w:t>
            </w:r>
            <w:proofErr w:type="spellEnd"/>
            <w:r w:rsidRPr="002A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E9E">
              <w:rPr>
                <w:rFonts w:ascii="Times New Roman" w:hAnsi="Times New Roman"/>
                <w:sz w:val="28"/>
                <w:szCs w:val="28"/>
              </w:rPr>
              <w:t>инвестором</w:t>
            </w:r>
            <w:proofErr w:type="spellEnd"/>
            <w:r w:rsidRPr="00177F49">
              <w:rPr>
                <w:sz w:val="28"/>
                <w:szCs w:val="28"/>
                <w:lang w:val="ro-RO"/>
              </w:rPr>
              <w:t>;</w:t>
            </w:r>
          </w:p>
          <w:p w:rsidR="007661ED" w:rsidRPr="00177F49" w:rsidRDefault="007661ED" w:rsidP="007661ED">
            <w:pPr>
              <w:pStyle w:val="item-none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o-RO" w:eastAsia="ru-RU"/>
              </w:rPr>
            </w:pPr>
            <w:r w:rsidRPr="004225D2">
              <w:rPr>
                <w:sz w:val="28"/>
                <w:szCs w:val="28"/>
                <w:lang w:val="ru-RU"/>
              </w:rPr>
              <w:t>в случае возбуждения процесса в судебной инстанции в отношении содержащейся в проспекте информации, возможно, что инвестор истец должен будет покрыть расходы на перевод проспекта до начала судебной процедуры</w:t>
            </w:r>
            <w:r>
              <w:rPr>
                <w:sz w:val="28"/>
                <w:szCs w:val="28"/>
                <w:lang w:val="ru-RU"/>
              </w:rPr>
              <w:t>; и</w:t>
            </w:r>
          </w:p>
          <w:p w:rsidR="007661ED" w:rsidRPr="00177F49" w:rsidRDefault="007661ED" w:rsidP="007661ED">
            <w:pPr>
              <w:pStyle w:val="item-none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o-RO"/>
              </w:rPr>
            </w:pPr>
            <w:r w:rsidRPr="00177F49">
              <w:rPr>
                <w:sz w:val="28"/>
                <w:szCs w:val="28"/>
                <w:lang w:val="ro-RO" w:eastAsia="ru-RU"/>
              </w:rPr>
              <w:t> </w:t>
            </w:r>
            <w:r w:rsidRPr="004225D2">
              <w:rPr>
                <w:sz w:val="28"/>
                <w:szCs w:val="28"/>
                <w:lang w:val="ru-RU"/>
              </w:rPr>
              <w:t xml:space="preserve">гражданскую ответственность несут только </w:t>
            </w:r>
            <w:proofErr w:type="gramStart"/>
            <w:r w:rsidRPr="004225D2">
              <w:rPr>
                <w:sz w:val="28"/>
                <w:szCs w:val="28"/>
                <w:lang w:val="ru-RU"/>
              </w:rPr>
              <w:t>лица</w:t>
            </w:r>
            <w:proofErr w:type="gramEnd"/>
            <w:r w:rsidRPr="004225D2">
              <w:rPr>
                <w:sz w:val="28"/>
                <w:szCs w:val="28"/>
                <w:lang w:val="ru-RU"/>
              </w:rPr>
              <w:t xml:space="preserve"> которые представили резюме, а также, в зависимости от случая, и его перевод, и только если оно является неверным, неточным или противоречивым </w:t>
            </w:r>
            <w:r>
              <w:rPr>
                <w:sz w:val="28"/>
                <w:szCs w:val="28"/>
                <w:lang w:val="ru-RU"/>
              </w:rPr>
              <w:t>в сравнении с</w:t>
            </w:r>
            <w:r w:rsidRPr="004225D2">
              <w:rPr>
                <w:sz w:val="28"/>
                <w:szCs w:val="28"/>
                <w:lang w:val="ru-RU"/>
              </w:rPr>
              <w:t xml:space="preserve"> остальным</w:t>
            </w:r>
            <w:r>
              <w:rPr>
                <w:sz w:val="28"/>
                <w:szCs w:val="28"/>
                <w:lang w:val="ru-RU"/>
              </w:rPr>
              <w:t>и</w:t>
            </w:r>
            <w:r w:rsidRPr="004225D2">
              <w:rPr>
                <w:sz w:val="28"/>
                <w:szCs w:val="28"/>
                <w:lang w:val="ru-RU"/>
              </w:rPr>
              <w:t xml:space="preserve"> частям</w:t>
            </w:r>
            <w:r>
              <w:rPr>
                <w:sz w:val="28"/>
                <w:szCs w:val="28"/>
                <w:lang w:val="ru-RU"/>
              </w:rPr>
              <w:t>и</w:t>
            </w:r>
            <w:r w:rsidRPr="004225D2">
              <w:rPr>
                <w:sz w:val="28"/>
                <w:szCs w:val="28"/>
                <w:lang w:val="ru-RU"/>
              </w:rPr>
              <w:t xml:space="preserve"> проспекта, или если оно не предоставляет, по отношению к остальным частям проспекта, существенную информацию для оказания помощи </w:t>
            </w:r>
            <w:r w:rsidRPr="004225D2">
              <w:rPr>
                <w:sz w:val="28"/>
                <w:szCs w:val="28"/>
                <w:lang w:val="ru-RU"/>
              </w:rPr>
              <w:lastRenderedPageBreak/>
              <w:t>инвесторам принять решение об инвестировании в такие ценные бумаги</w:t>
            </w:r>
            <w:r w:rsidRPr="00177F49">
              <w:rPr>
                <w:sz w:val="28"/>
                <w:szCs w:val="28"/>
                <w:lang w:val="ro-RO" w:eastAsia="ru-RU"/>
              </w:rPr>
              <w:t>.</w:t>
            </w:r>
          </w:p>
        </w:tc>
      </w:tr>
      <w:tr w:rsidR="007661ED" w:rsidRPr="004225D2" w:rsidTr="006366D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left"/>
              <w:rPr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sz w:val="28"/>
                <w:szCs w:val="28"/>
                <w:lang w:val="ro-RO"/>
              </w:rPr>
              <w:lastRenderedPageBreak/>
              <w:t>A.2</w:t>
            </w:r>
            <w:r w:rsidRPr="00177F49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norm"/>
              <w:spacing w:before="0" w:beforeAutospacing="0" w:after="0" w:afterAutospacing="0"/>
              <w:jc w:val="both"/>
              <w:rPr>
                <w:sz w:val="28"/>
                <w:szCs w:val="28"/>
                <w:lang w:val="ro-RO" w:eastAsia="ru-RU"/>
              </w:rPr>
            </w:pPr>
            <w:r w:rsidRPr="002A3E9E">
              <w:rPr>
                <w:sz w:val="28"/>
                <w:szCs w:val="28"/>
                <w:lang w:val="ru-RU" w:eastAsia="ru-RU"/>
              </w:rPr>
              <w:t xml:space="preserve">Согласие эмитента или лица, уполномоченного составить проспект, на использование проспекта для дальнейшей перепродажи или окончательного размещения </w:t>
            </w:r>
            <w:r>
              <w:rPr>
                <w:sz w:val="28"/>
                <w:szCs w:val="28"/>
                <w:lang w:val="ru-RU" w:eastAsia="ru-RU"/>
              </w:rPr>
              <w:t>облигаций</w:t>
            </w:r>
            <w:r w:rsidRPr="002A3E9E">
              <w:rPr>
                <w:sz w:val="28"/>
                <w:szCs w:val="28"/>
                <w:lang w:val="ru-RU" w:eastAsia="ru-RU"/>
              </w:rPr>
              <w:t xml:space="preserve"> финансовыми посредниками</w:t>
            </w:r>
            <w:r w:rsidRPr="00177F49">
              <w:rPr>
                <w:sz w:val="28"/>
                <w:szCs w:val="28"/>
                <w:lang w:val="ro-RO" w:eastAsia="ru-RU"/>
              </w:rPr>
              <w:t>.</w:t>
            </w:r>
          </w:p>
          <w:p w:rsidR="007661ED" w:rsidRPr="00177F49" w:rsidRDefault="007661ED" w:rsidP="006366DA">
            <w:pPr>
              <w:pStyle w:val="tbl-norm"/>
              <w:spacing w:before="0" w:beforeAutospacing="0" w:after="0" w:afterAutospacing="0"/>
              <w:jc w:val="both"/>
              <w:rPr>
                <w:sz w:val="28"/>
                <w:szCs w:val="28"/>
                <w:lang w:val="ro-RO" w:eastAsia="ru-RU"/>
              </w:rPr>
            </w:pPr>
            <w:r w:rsidRPr="002A3E9E">
              <w:rPr>
                <w:sz w:val="28"/>
                <w:szCs w:val="28"/>
                <w:lang w:val="ru-RU" w:eastAsia="ru-RU"/>
              </w:rPr>
              <w:t>Указать период предложения, в котором может быть осуществлена последующая перепродажа или окончательное размещение ценных бумаг через финансовых посредников  и на протяжении которого действительно согласие на использование проспекта</w:t>
            </w:r>
            <w:r w:rsidRPr="00177F49">
              <w:rPr>
                <w:sz w:val="28"/>
                <w:szCs w:val="28"/>
                <w:lang w:val="ro-RO" w:eastAsia="ru-RU"/>
              </w:rPr>
              <w:t>.</w:t>
            </w:r>
          </w:p>
          <w:p w:rsidR="007661ED" w:rsidRPr="00177F49" w:rsidRDefault="007661ED" w:rsidP="006366DA">
            <w:pPr>
              <w:pStyle w:val="tbl-norm"/>
              <w:spacing w:before="0" w:beforeAutospacing="0" w:after="0" w:afterAutospacing="0"/>
              <w:jc w:val="both"/>
              <w:rPr>
                <w:sz w:val="28"/>
                <w:szCs w:val="28"/>
                <w:lang w:val="ro-RO" w:eastAsia="ru-RU"/>
              </w:rPr>
            </w:pPr>
            <w:r w:rsidRPr="002A3E9E">
              <w:rPr>
                <w:sz w:val="28"/>
                <w:szCs w:val="28"/>
                <w:lang w:val="ru-RU" w:eastAsia="ru-RU"/>
              </w:rPr>
              <w:t xml:space="preserve">Любые другие четкие и объективные условия, связанные с </w:t>
            </w:r>
            <w:r>
              <w:rPr>
                <w:sz w:val="28"/>
                <w:szCs w:val="28"/>
                <w:lang w:val="ru-RU" w:eastAsia="ru-RU"/>
              </w:rPr>
              <w:t>договором</w:t>
            </w:r>
            <w:r w:rsidRPr="002A3E9E">
              <w:rPr>
                <w:sz w:val="28"/>
                <w:szCs w:val="28"/>
                <w:lang w:val="ru-RU" w:eastAsia="ru-RU"/>
              </w:rPr>
              <w:t>, релевантные для использования проспекта</w:t>
            </w:r>
            <w:r w:rsidRPr="00177F49">
              <w:rPr>
                <w:sz w:val="28"/>
                <w:szCs w:val="28"/>
                <w:lang w:val="ro-RO" w:eastAsia="ru-RU"/>
              </w:rPr>
              <w:t>.</w:t>
            </w:r>
          </w:p>
          <w:p w:rsidR="007661ED" w:rsidRPr="002A3E9E" w:rsidRDefault="007661ED" w:rsidP="006366DA">
            <w:pPr>
              <w:pStyle w:val="tbl-norm"/>
              <w:spacing w:before="0" w:beforeAutospacing="0" w:after="0" w:afterAutospacing="0"/>
              <w:ind w:left="96" w:right="141"/>
              <w:jc w:val="both"/>
              <w:rPr>
                <w:sz w:val="28"/>
                <w:szCs w:val="28"/>
                <w:lang w:val="ru-RU"/>
              </w:rPr>
            </w:pPr>
            <w:r w:rsidRPr="002A3E9E">
              <w:rPr>
                <w:sz w:val="28"/>
                <w:szCs w:val="28"/>
                <w:lang w:val="ru-RU" w:eastAsia="ru-RU"/>
              </w:rPr>
              <w:t>Отметка жирным шрифтом, уведомляющая инвесторов о том, что:</w:t>
            </w:r>
            <w:r w:rsidRPr="002A3E9E">
              <w:rPr>
                <w:sz w:val="28"/>
                <w:szCs w:val="28"/>
                <w:lang w:val="ru-RU"/>
              </w:rPr>
              <w:t xml:space="preserve"> </w:t>
            </w:r>
          </w:p>
          <w:p w:rsidR="007661ED" w:rsidRPr="009E3782" w:rsidRDefault="007661ED" w:rsidP="006366DA">
            <w:pPr>
              <w:pStyle w:val="tbl-norm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/>
              </w:rPr>
            </w:pPr>
            <w:r w:rsidRPr="002A3E9E">
              <w:rPr>
                <w:b/>
                <w:sz w:val="28"/>
                <w:szCs w:val="28"/>
                <w:lang w:val="ru-RU"/>
              </w:rPr>
              <w:t>”информация об условиях предложения, осуществляемого финансовым посредником, будет предоставлена в момент осуществления предложения финансовым посредником</w:t>
            </w:r>
            <w:proofErr w:type="gramStart"/>
            <w:r w:rsidRPr="002A3E9E">
              <w:rPr>
                <w:b/>
                <w:sz w:val="28"/>
                <w:szCs w:val="28"/>
                <w:lang w:val="ru-RU"/>
              </w:rPr>
              <w:t>.”</w:t>
            </w:r>
            <w:proofErr w:type="gramEnd"/>
          </w:p>
        </w:tc>
      </w:tr>
    </w:tbl>
    <w:p w:rsidR="007661ED" w:rsidRPr="002A3E9E" w:rsidRDefault="007661ED" w:rsidP="007661ED">
      <w:pPr>
        <w:pStyle w:val="norm"/>
        <w:rPr>
          <w:b/>
          <w:sz w:val="28"/>
          <w:szCs w:val="28"/>
        </w:rPr>
      </w:pPr>
      <w:r w:rsidRPr="002A3E9E">
        <w:rPr>
          <w:rStyle w:val="italics"/>
          <w:b/>
          <w:sz w:val="28"/>
          <w:szCs w:val="28"/>
        </w:rPr>
        <w:t>Раздел B</w:t>
      </w:r>
      <w:r w:rsidRPr="002A3E9E">
        <w:rPr>
          <w:b/>
          <w:sz w:val="28"/>
          <w:szCs w:val="28"/>
        </w:rPr>
        <w:t>  - Эмитент и возможные гаранты</w:t>
      </w:r>
    </w:p>
    <w:tbl>
      <w:tblPr>
        <w:tblW w:w="9781" w:type="dxa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"/>
        <w:gridCol w:w="8747"/>
      </w:tblGrid>
      <w:tr w:rsidR="007661ED" w:rsidRPr="00177F49" w:rsidTr="006366DA">
        <w:trPr>
          <w:trHeight w:val="145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norm"/>
              <w:ind w:right="-142"/>
              <w:rPr>
                <w:b/>
                <w:bCs/>
                <w:sz w:val="28"/>
                <w:szCs w:val="28"/>
                <w:lang w:val="ro-RO"/>
              </w:rPr>
            </w:pPr>
            <w:r w:rsidRPr="002A3E9E">
              <w:rPr>
                <w:b/>
                <w:bCs/>
                <w:sz w:val="28"/>
                <w:szCs w:val="28"/>
                <w:lang w:val="ru-RU"/>
              </w:rPr>
              <w:t>Элемент</w:t>
            </w:r>
            <w:r w:rsidRPr="00177F49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norm"/>
              <w:ind w:right="-142"/>
              <w:rPr>
                <w:b/>
                <w:bCs/>
                <w:sz w:val="28"/>
                <w:szCs w:val="28"/>
                <w:lang w:val="ro-RO"/>
              </w:rPr>
            </w:pPr>
            <w:r w:rsidRPr="002A3E9E">
              <w:rPr>
                <w:b/>
                <w:bCs/>
                <w:sz w:val="28"/>
                <w:szCs w:val="28"/>
                <w:lang w:val="ru-RU"/>
              </w:rPr>
              <w:t>Требование к рекламе</w:t>
            </w:r>
            <w:r w:rsidRPr="00177F49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7661ED" w:rsidRPr="004225D2" w:rsidTr="006366DA">
        <w:trPr>
          <w:trHeight w:val="145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left"/>
              <w:ind w:right="-142"/>
              <w:rPr>
                <w:rStyle w:val="boldface"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sz w:val="28"/>
                <w:szCs w:val="28"/>
                <w:lang w:val="ro-RO"/>
              </w:rPr>
              <w:t>B.1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norm"/>
              <w:spacing w:before="0" w:beforeAutospacing="0" w:after="0" w:afterAutospacing="0"/>
              <w:ind w:right="-142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u-RU"/>
              </w:rPr>
              <w:t>Описание эмитента, включающее</w:t>
            </w:r>
            <w:r w:rsidRPr="00177F49">
              <w:rPr>
                <w:sz w:val="28"/>
                <w:szCs w:val="28"/>
                <w:lang w:val="ro-RO"/>
              </w:rPr>
              <w:t>:</w:t>
            </w:r>
          </w:p>
          <w:p w:rsidR="007661ED" w:rsidRPr="00177F49" w:rsidRDefault="007661ED" w:rsidP="006366DA">
            <w:pPr>
              <w:pStyle w:val="item-none"/>
              <w:spacing w:before="0" w:beforeAutospacing="0" w:after="0" w:afterAutospacing="0"/>
              <w:ind w:right="-142"/>
              <w:rPr>
                <w:sz w:val="28"/>
                <w:szCs w:val="28"/>
                <w:lang w:val="ro-RO"/>
              </w:rPr>
            </w:pPr>
            <w:r w:rsidRPr="00177F49">
              <w:rPr>
                <w:sz w:val="28"/>
                <w:szCs w:val="28"/>
                <w:lang w:val="ro-RO"/>
              </w:rPr>
              <w:t>- </w:t>
            </w:r>
            <w:r>
              <w:rPr>
                <w:sz w:val="28"/>
                <w:szCs w:val="28"/>
                <w:lang w:val="ru-RU"/>
              </w:rPr>
              <w:t>Законное наименование эмитента и описание его позиции в рамках национальной администрации, законодательство, на основании которого осуществляет деятельность эмитент</w:t>
            </w:r>
            <w:r w:rsidRPr="00177F49">
              <w:rPr>
                <w:sz w:val="28"/>
                <w:szCs w:val="28"/>
                <w:lang w:val="ro-RO"/>
              </w:rPr>
              <w:t>;</w:t>
            </w:r>
          </w:p>
          <w:p w:rsidR="007661ED" w:rsidRPr="00177F49" w:rsidRDefault="007661ED" w:rsidP="006366DA">
            <w:pPr>
              <w:pStyle w:val="item-none"/>
              <w:spacing w:before="0" w:beforeAutospacing="0" w:after="0" w:afterAutospacing="0"/>
              <w:ind w:right="-142"/>
              <w:rPr>
                <w:sz w:val="28"/>
                <w:szCs w:val="28"/>
                <w:lang w:val="ro-RO"/>
              </w:rPr>
            </w:pPr>
            <w:r w:rsidRPr="00177F49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Адрес и правовая форма эмитента</w:t>
            </w:r>
            <w:r w:rsidRPr="00177F49">
              <w:rPr>
                <w:sz w:val="28"/>
                <w:szCs w:val="28"/>
                <w:lang w:val="ro-RO"/>
              </w:rPr>
              <w:t>;</w:t>
            </w:r>
          </w:p>
          <w:p w:rsidR="007661ED" w:rsidRPr="00177F49" w:rsidRDefault="007661ED" w:rsidP="006366DA">
            <w:pPr>
              <w:pStyle w:val="item-none"/>
              <w:spacing w:before="0" w:beforeAutospacing="0" w:after="0" w:afterAutospacing="0"/>
              <w:ind w:right="-142"/>
              <w:rPr>
                <w:sz w:val="28"/>
                <w:szCs w:val="28"/>
                <w:lang w:val="ro-RO"/>
              </w:rPr>
            </w:pPr>
            <w:r w:rsidRPr="00177F49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Последние события, релевантные для оценки платежеспособности эмитента, и, в случае необходимости, описание любых известных тенденций, способных повлиять на эмитента</w:t>
            </w:r>
            <w:r w:rsidRPr="00177F49">
              <w:rPr>
                <w:sz w:val="28"/>
                <w:szCs w:val="28"/>
                <w:lang w:val="ro-RO"/>
              </w:rPr>
              <w:t>;</w:t>
            </w:r>
          </w:p>
          <w:p w:rsidR="007661ED" w:rsidRPr="00177F49" w:rsidRDefault="007661ED" w:rsidP="006366DA">
            <w:pPr>
              <w:pStyle w:val="item-none"/>
              <w:spacing w:before="0" w:beforeAutospacing="0" w:after="0" w:afterAutospacing="0"/>
              <w:ind w:right="-142"/>
              <w:rPr>
                <w:sz w:val="28"/>
                <w:szCs w:val="28"/>
                <w:lang w:val="ro-RO"/>
              </w:rPr>
            </w:pPr>
            <w:r w:rsidRPr="00177F49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Описание экономики эмитента, в том числе ее структуры, с подробностями о главных секторах</w:t>
            </w:r>
            <w:r w:rsidRPr="00177F49">
              <w:rPr>
                <w:sz w:val="28"/>
                <w:szCs w:val="28"/>
                <w:lang w:val="ro-RO"/>
              </w:rPr>
              <w:t>.</w:t>
            </w:r>
          </w:p>
        </w:tc>
      </w:tr>
      <w:tr w:rsidR="007661ED" w:rsidRPr="004225D2" w:rsidTr="006366DA">
        <w:trPr>
          <w:trHeight w:val="145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left"/>
              <w:ind w:right="-142"/>
              <w:rPr>
                <w:rStyle w:val="boldface"/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sz w:val="28"/>
                <w:szCs w:val="28"/>
                <w:lang w:val="ro-RO"/>
              </w:rPr>
              <w:t>B.2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Описание публичных финансов или важных событий в рамках публичных финансов и коммерческая информация за последние два фискальных года, предшествующих дате проспекта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. </w:t>
            </w:r>
          </w:p>
          <w:p w:rsidR="007661ED" w:rsidRPr="00F027D5" w:rsidRDefault="007661ED" w:rsidP="006366D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Описание любых существенных изменений данных сведений после </w:t>
            </w:r>
            <w:r w:rsidRPr="00F027D5">
              <w:rPr>
                <w:rFonts w:ascii="Times New Roman" w:hAnsi="Times New Roman"/>
                <w:sz w:val="28"/>
                <w:szCs w:val="28"/>
              </w:rPr>
              <w:t>завершения последнего фискального года или декларация подтверждающ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027D5">
              <w:rPr>
                <w:rFonts w:ascii="Times New Roman" w:hAnsi="Times New Roman"/>
                <w:sz w:val="28"/>
                <w:szCs w:val="28"/>
              </w:rPr>
              <w:t>, что перспективы эмитента не потерпели существенное изменение с даты его последнего подвергнутого аудиту и опубликованного финансового отчета.</w:t>
            </w:r>
          </w:p>
        </w:tc>
      </w:tr>
      <w:tr w:rsidR="007661ED" w:rsidRPr="004225D2" w:rsidTr="006366DA">
        <w:trPr>
          <w:trHeight w:val="145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left"/>
              <w:ind w:right="-142"/>
              <w:rPr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sz w:val="28"/>
                <w:szCs w:val="28"/>
                <w:lang w:val="ro-RO"/>
              </w:rPr>
              <w:t>B.3</w:t>
            </w:r>
            <w:r w:rsidRPr="00177F49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характера всех оговорок из аудиторского отчета, относящихся к исторической финансовой информации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7661ED" w:rsidRPr="004225D2" w:rsidTr="006366DA">
        <w:trPr>
          <w:trHeight w:val="388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left"/>
              <w:ind w:right="-142"/>
              <w:rPr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sz w:val="28"/>
                <w:szCs w:val="28"/>
                <w:lang w:val="ro-RO"/>
              </w:rPr>
              <w:lastRenderedPageBreak/>
              <w:t>B.4</w:t>
            </w:r>
            <w:r w:rsidRPr="00177F49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составляются прогнозы или оценка прибыли, указать цифру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7661ED" w:rsidRPr="004225D2" w:rsidTr="006366DA">
        <w:trPr>
          <w:trHeight w:val="80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left"/>
              <w:ind w:right="-142"/>
              <w:rPr>
                <w:sz w:val="28"/>
                <w:szCs w:val="28"/>
                <w:lang w:val="ro-RO"/>
              </w:rPr>
            </w:pPr>
            <w:r w:rsidRPr="00177F49">
              <w:rPr>
                <w:rStyle w:val="boldface"/>
                <w:sz w:val="28"/>
                <w:szCs w:val="28"/>
                <w:lang w:val="ro-RO"/>
              </w:rPr>
              <w:t>B.5</w:t>
            </w:r>
            <w:r w:rsidRPr="00177F49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15BF7">
              <w:rPr>
                <w:rFonts w:ascii="Times New Roman" w:hAnsi="Times New Roman"/>
                <w:sz w:val="28"/>
                <w:szCs w:val="28"/>
              </w:rPr>
              <w:t>Рейтинг, присвоенный эмитенту или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ценным бумагам</w:t>
            </w:r>
            <w:r w:rsidRPr="00015BF7">
              <w:rPr>
                <w:rFonts w:ascii="Times New Roman" w:hAnsi="Times New Roman"/>
                <w:sz w:val="28"/>
                <w:szCs w:val="28"/>
              </w:rPr>
              <w:t>, по заявлению эмитента или при его сотрудничестве в процессе присвоения рейтинга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</w:tbl>
    <w:p w:rsidR="007661ED" w:rsidRPr="00177F49" w:rsidRDefault="007661ED" w:rsidP="007661ED">
      <w:pPr>
        <w:pStyle w:val="NormalWeb"/>
        <w:ind w:right="-142"/>
        <w:rPr>
          <w:sz w:val="28"/>
          <w:szCs w:val="28"/>
          <w:lang w:val="ro-RO"/>
        </w:rPr>
      </w:pPr>
    </w:p>
    <w:p w:rsidR="007661ED" w:rsidRPr="002A3E9E" w:rsidRDefault="007661ED" w:rsidP="007661ED">
      <w:pPr>
        <w:pStyle w:val="norm"/>
        <w:spacing w:before="0" w:beforeAutospacing="0" w:after="0" w:afterAutospacing="0"/>
        <w:rPr>
          <w:b/>
          <w:sz w:val="28"/>
          <w:szCs w:val="28"/>
          <w:lang w:eastAsia="en-US"/>
        </w:rPr>
      </w:pPr>
      <w:r w:rsidRPr="002A3E9E">
        <w:rPr>
          <w:b/>
          <w:sz w:val="28"/>
          <w:szCs w:val="28"/>
          <w:lang w:eastAsia="en-US"/>
        </w:rPr>
        <w:t xml:space="preserve">Раздел  C –  Ценные бумаги </w:t>
      </w:r>
    </w:p>
    <w:tbl>
      <w:tblPr>
        <w:tblpPr w:leftFromText="180" w:rightFromText="180" w:vertAnchor="text" w:horzAnchor="page" w:tblpX="1219" w:tblpY="183"/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2"/>
        <w:gridCol w:w="8512"/>
      </w:tblGrid>
      <w:tr w:rsidR="007661ED" w:rsidRPr="00177F49" w:rsidTr="006366DA">
        <w:trPr>
          <w:tblCellSpacing w:w="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Елемент</w:t>
            </w:r>
            <w:proofErr w:type="spellEnd"/>
          </w:p>
        </w:tc>
        <w:tc>
          <w:tcPr>
            <w:tcW w:w="8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A3E9E">
              <w:rPr>
                <w:rFonts w:ascii="Times New Roman" w:hAnsi="Times New Roman"/>
                <w:b/>
                <w:sz w:val="28"/>
                <w:szCs w:val="28"/>
              </w:rPr>
              <w:t>Требование к рекламе</w:t>
            </w:r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7661ED" w:rsidRPr="004225D2" w:rsidTr="006366DA">
        <w:trPr>
          <w:tblCellSpacing w:w="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C.1 </w:t>
            </w:r>
          </w:p>
        </w:tc>
        <w:tc>
          <w:tcPr>
            <w:tcW w:w="8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A3E9E">
              <w:rPr>
                <w:rFonts w:ascii="Times New Roman" w:hAnsi="Times New Roman"/>
                <w:sz w:val="28"/>
                <w:szCs w:val="28"/>
              </w:rPr>
              <w:t xml:space="preserve">Описание характера и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облигаций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 xml:space="preserve">, являющихся предметом публичного предложения, в том числе любой идентификационный номер </w:t>
            </w:r>
            <w:r>
              <w:rPr>
                <w:rFonts w:ascii="Times New Roman" w:hAnsi="Times New Roman"/>
                <w:sz w:val="28"/>
                <w:szCs w:val="28"/>
              </w:rPr>
              <w:t>облигаций, в зависимости от обстоятельств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7661ED" w:rsidRPr="004225D2" w:rsidTr="006366DA">
        <w:trPr>
          <w:trHeight w:val="358"/>
          <w:tblCellSpacing w:w="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C.2 </w:t>
            </w:r>
          </w:p>
        </w:tc>
        <w:tc>
          <w:tcPr>
            <w:tcW w:w="8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A3E9E">
              <w:rPr>
                <w:rFonts w:ascii="Times New Roman" w:hAnsi="Times New Roman"/>
                <w:sz w:val="28"/>
                <w:szCs w:val="28"/>
              </w:rPr>
              <w:t>Валюта, в которой осуществлен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выпуск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7661ED" w:rsidRPr="004225D2" w:rsidTr="006366DA">
        <w:trPr>
          <w:tblCellSpacing w:w="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C.3 </w:t>
            </w:r>
          </w:p>
        </w:tc>
        <w:tc>
          <w:tcPr>
            <w:tcW w:w="8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A3E9E">
              <w:rPr>
                <w:rFonts w:ascii="Times New Roman" w:hAnsi="Times New Roman"/>
                <w:sz w:val="28"/>
                <w:szCs w:val="28"/>
              </w:rPr>
              <w:t xml:space="preserve">Описание всех ограничений на  свободную передачу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облигаций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7661ED" w:rsidRPr="004225D2" w:rsidTr="006366DA">
        <w:trPr>
          <w:tblCellSpacing w:w="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C.4 </w:t>
            </w:r>
          </w:p>
        </w:tc>
        <w:tc>
          <w:tcPr>
            <w:tcW w:w="8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прав по облигациям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включая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”</w:t>
            </w:r>
            <w:r>
              <w:rPr>
                <w:rFonts w:ascii="Times New Roman" w:hAnsi="Times New Roman"/>
                <w:sz w:val="28"/>
                <w:szCs w:val="28"/>
              </w:rPr>
              <w:t>классификацию публичного долга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”  </w:t>
            </w:r>
            <w:r>
              <w:rPr>
                <w:rFonts w:ascii="Times New Roman" w:hAnsi="Times New Roman"/>
                <w:sz w:val="28"/>
                <w:szCs w:val="28"/>
              </w:rPr>
              <w:t>и включая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”</w:t>
            </w:r>
            <w:r>
              <w:rPr>
                <w:rFonts w:ascii="Times New Roman" w:hAnsi="Times New Roman"/>
                <w:sz w:val="28"/>
                <w:szCs w:val="28"/>
              </w:rPr>
              <w:t>привилегии и ограничения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</w:rPr>
              <w:t>применяемые к данным правам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7661ED" w:rsidRPr="00177F49" w:rsidTr="006366DA">
        <w:trPr>
          <w:tblCellSpacing w:w="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C.5 </w:t>
            </w:r>
          </w:p>
        </w:tc>
        <w:tc>
          <w:tcPr>
            <w:tcW w:w="8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Дополнительно к </w:t>
            </w:r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C.4,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зависимости от обстоятельств</w:t>
            </w:r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: </w:t>
            </w:r>
          </w:p>
          <w:p w:rsidR="007661ED" w:rsidRPr="00177F49" w:rsidRDefault="007661ED" w:rsidP="006366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номинальная процентная ставка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;</w:t>
            </w:r>
          </w:p>
          <w:p w:rsidR="007661ED" w:rsidRPr="00177F49" w:rsidRDefault="007661ED" w:rsidP="00636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 xml:space="preserve"> дата, с которой начисляются проценты, и срок платежа процентов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;</w:t>
            </w:r>
          </w:p>
          <w:p w:rsidR="007661ED" w:rsidRPr="00177F49" w:rsidRDefault="007661ED" w:rsidP="00636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 xml:space="preserve"> в случае если процентная ставка не является установленной, дается описание соответствующих элементов, на основании которых она рассчитывается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;</w:t>
            </w:r>
          </w:p>
          <w:p w:rsidR="007661ED" w:rsidRPr="00177F49" w:rsidRDefault="007661ED" w:rsidP="00636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 xml:space="preserve"> дата истечения срока платежа и описание способа амортизации займа, в том числе процедур воз</w:t>
            </w:r>
            <w:r>
              <w:rPr>
                <w:rFonts w:ascii="Times New Roman" w:hAnsi="Times New Roman"/>
                <w:sz w:val="28"/>
                <w:szCs w:val="28"/>
              </w:rPr>
              <w:t>вращения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;</w:t>
            </w:r>
          </w:p>
          <w:p w:rsidR="007661ED" w:rsidRPr="00177F49" w:rsidRDefault="007661ED" w:rsidP="00636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доходность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;</w:t>
            </w:r>
          </w:p>
          <w:p w:rsidR="007661ED" w:rsidRPr="00177F49" w:rsidRDefault="007661ED" w:rsidP="00636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продажная цена, если отличается от номинальной стоимости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; </w:t>
            </w:r>
          </w:p>
          <w:p w:rsidR="007661ED" w:rsidRPr="00177F49" w:rsidRDefault="007661ED" w:rsidP="00636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- 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 xml:space="preserve"> фамилия представителя владельцев облигаций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7661ED" w:rsidRPr="004225D2" w:rsidTr="006366DA">
        <w:trPr>
          <w:tblCellSpacing w:w="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C.6 </w:t>
            </w:r>
          </w:p>
        </w:tc>
        <w:tc>
          <w:tcPr>
            <w:tcW w:w="8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Дополнительно к</w:t>
            </w:r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C.5</w:t>
            </w:r>
            <w:proofErr w:type="gramStart"/>
            <w:r w:rsidRPr="00177F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:</w:t>
            </w:r>
            <w:proofErr w:type="gramEnd"/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  <w:p w:rsidR="007661ED" w:rsidRPr="00177F49" w:rsidRDefault="007661ED" w:rsidP="006366DA">
            <w:pPr>
              <w:spacing w:after="0" w:line="12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7661ED" w:rsidRPr="002F28A6" w:rsidRDefault="007661ED" w:rsidP="00636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E9E">
              <w:rPr>
                <w:rFonts w:ascii="Times New Roman" w:hAnsi="Times New Roman"/>
                <w:sz w:val="28"/>
                <w:szCs w:val="28"/>
              </w:rPr>
              <w:t>В случае, когда выплата процентов от стоимости выпуска соотносится с производным инструментом (несколькими производными инструментами), представить точные и исчерпывающие разъяснения, которые позволили бы инвесторам понять каким образом на стоимость их инвестиции влияет стоимость соответствующег</w:t>
            </w:r>
            <w:proofErr w:type="gramStart"/>
            <w:r w:rsidRPr="002A3E9E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2A3E9E">
              <w:rPr>
                <w:rFonts w:ascii="Times New Roman" w:hAnsi="Times New Roman"/>
                <w:sz w:val="28"/>
                <w:szCs w:val="28"/>
              </w:rPr>
              <w:t>их) инструмента(</w:t>
            </w:r>
            <w:proofErr w:type="spellStart"/>
            <w:r w:rsidRPr="002A3E9E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2A3E9E">
              <w:rPr>
                <w:rFonts w:ascii="Times New Roman" w:hAnsi="Times New Roman"/>
                <w:sz w:val="28"/>
                <w:szCs w:val="28"/>
              </w:rPr>
              <w:t>), в особенности в случае, когда риски являются очевидными.</w:t>
            </w:r>
          </w:p>
        </w:tc>
      </w:tr>
      <w:tr w:rsidR="007661ED" w:rsidRPr="004225D2" w:rsidTr="006366DA">
        <w:trPr>
          <w:tblCellSpacing w:w="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C.7 </w:t>
            </w:r>
          </w:p>
        </w:tc>
        <w:tc>
          <w:tcPr>
            <w:tcW w:w="8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A3E9E">
              <w:rPr>
                <w:rFonts w:ascii="Times New Roman" w:hAnsi="Times New Roman"/>
                <w:sz w:val="28"/>
                <w:szCs w:val="28"/>
              </w:rPr>
              <w:t xml:space="preserve">Указать если предлагаемые ценные бумаги составляют или составят </w:t>
            </w:r>
            <w:r w:rsidRPr="002A3E9E">
              <w:rPr>
                <w:rFonts w:ascii="Times New Roman" w:hAnsi="Times New Roman"/>
                <w:sz w:val="28"/>
                <w:szCs w:val="28"/>
              </w:rPr>
              <w:lastRenderedPageBreak/>
              <w:t>предмет заявки на допущение к торгам, в целях их распределения на регулируемом рынке или на равноценн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 xml:space="preserve"> рынк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2A3E9E">
              <w:rPr>
                <w:rFonts w:ascii="Times New Roman" w:hAnsi="Times New Roman"/>
                <w:sz w:val="28"/>
                <w:szCs w:val="28"/>
              </w:rPr>
              <w:t>, с указанием соответствующих рынков</w:t>
            </w:r>
            <w:r w:rsidRPr="00177F4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</w:tbl>
    <w:p w:rsidR="007661ED" w:rsidRPr="00E92DC8" w:rsidRDefault="007661ED" w:rsidP="007661ED">
      <w:pPr>
        <w:pStyle w:val="norm"/>
        <w:spacing w:before="0" w:beforeAutospacing="0" w:after="0" w:afterAutospacing="0"/>
        <w:rPr>
          <w:b/>
          <w:sz w:val="22"/>
          <w:szCs w:val="22"/>
          <w:lang w:eastAsia="en-US"/>
        </w:rPr>
      </w:pPr>
    </w:p>
    <w:p w:rsidR="007661ED" w:rsidRPr="002A3E9E" w:rsidRDefault="007661ED" w:rsidP="007661ED">
      <w:pPr>
        <w:pStyle w:val="norm"/>
        <w:spacing w:before="0" w:beforeAutospacing="0" w:after="0" w:afterAutospacing="0"/>
        <w:rPr>
          <w:b/>
          <w:sz w:val="28"/>
          <w:szCs w:val="28"/>
          <w:lang w:eastAsia="en-US"/>
        </w:rPr>
      </w:pPr>
      <w:r w:rsidRPr="002A3E9E">
        <w:rPr>
          <w:b/>
          <w:sz w:val="28"/>
          <w:szCs w:val="28"/>
          <w:lang w:eastAsia="en-US"/>
        </w:rPr>
        <w:t xml:space="preserve">Раздел D –  Риски </w:t>
      </w:r>
    </w:p>
    <w:p w:rsidR="007661ED" w:rsidRPr="00177F49" w:rsidRDefault="007661ED" w:rsidP="007661ED">
      <w:pPr>
        <w:pStyle w:val="norm"/>
        <w:spacing w:before="0" w:beforeAutospacing="0" w:after="0" w:afterAutospacing="0"/>
        <w:rPr>
          <w:b/>
          <w:sz w:val="28"/>
          <w:szCs w:val="28"/>
          <w:lang w:val="ro-RO" w:eastAsia="en-US"/>
        </w:rPr>
      </w:pPr>
    </w:p>
    <w:tbl>
      <w:tblPr>
        <w:tblW w:w="9781" w:type="dxa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2"/>
        <w:gridCol w:w="8609"/>
      </w:tblGrid>
      <w:tr w:rsidR="007661ED" w:rsidRPr="00177F49" w:rsidTr="006366DA">
        <w:trPr>
          <w:trHeight w:val="428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norm"/>
              <w:rPr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Елемент</w:t>
            </w:r>
            <w:proofErr w:type="spellEnd"/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norm"/>
              <w:rPr>
                <w:b/>
                <w:sz w:val="28"/>
                <w:szCs w:val="28"/>
                <w:lang w:val="ro-RO"/>
              </w:rPr>
            </w:pPr>
            <w:r w:rsidRPr="002A3E9E">
              <w:rPr>
                <w:b/>
                <w:sz w:val="28"/>
                <w:szCs w:val="28"/>
                <w:lang w:val="ru-RU"/>
              </w:rPr>
              <w:t>Требование к рекламе</w:t>
            </w:r>
            <w:r w:rsidRPr="00177F49">
              <w:rPr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7661ED" w:rsidRPr="004225D2" w:rsidTr="006366D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left"/>
              <w:rPr>
                <w:sz w:val="28"/>
                <w:szCs w:val="28"/>
                <w:lang w:val="ro-RO"/>
              </w:rPr>
            </w:pPr>
            <w:r w:rsidRPr="00177F49">
              <w:rPr>
                <w:sz w:val="28"/>
                <w:szCs w:val="28"/>
                <w:lang w:val="ro-RO"/>
              </w:rPr>
              <w:t xml:space="preserve">D.1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norm"/>
              <w:rPr>
                <w:sz w:val="28"/>
                <w:szCs w:val="28"/>
                <w:lang w:val="ro-RO"/>
              </w:rPr>
            </w:pPr>
            <w:r w:rsidRPr="002A3E9E">
              <w:rPr>
                <w:sz w:val="28"/>
                <w:szCs w:val="28"/>
                <w:lang w:val="ru-RU"/>
              </w:rPr>
              <w:t>Основная информация о главных рисках характерных эмитенту</w:t>
            </w:r>
            <w:r w:rsidRPr="00177F49">
              <w:rPr>
                <w:sz w:val="28"/>
                <w:szCs w:val="28"/>
                <w:lang w:val="ro-RO"/>
              </w:rPr>
              <w:t>.</w:t>
            </w:r>
          </w:p>
        </w:tc>
      </w:tr>
      <w:tr w:rsidR="007661ED" w:rsidRPr="004225D2" w:rsidTr="006366D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left"/>
              <w:rPr>
                <w:sz w:val="28"/>
                <w:szCs w:val="28"/>
                <w:lang w:val="ro-RO"/>
              </w:rPr>
            </w:pPr>
            <w:r w:rsidRPr="00177F49">
              <w:rPr>
                <w:sz w:val="28"/>
                <w:szCs w:val="28"/>
                <w:lang w:val="ro-RO"/>
              </w:rPr>
              <w:t xml:space="preserve">D.2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norm"/>
              <w:rPr>
                <w:sz w:val="28"/>
                <w:szCs w:val="28"/>
                <w:lang w:val="ro-RO"/>
              </w:rPr>
            </w:pPr>
            <w:r w:rsidRPr="002A3E9E">
              <w:rPr>
                <w:sz w:val="28"/>
                <w:szCs w:val="28"/>
                <w:lang w:val="ru-RU"/>
              </w:rPr>
              <w:t xml:space="preserve">Основная информация о главных рисках характерных </w:t>
            </w:r>
            <w:r>
              <w:rPr>
                <w:sz w:val="28"/>
                <w:szCs w:val="28"/>
                <w:lang w:val="ru-RU"/>
              </w:rPr>
              <w:t>для выпущенных облигаций</w:t>
            </w:r>
            <w:r w:rsidRPr="00177F49">
              <w:rPr>
                <w:sz w:val="28"/>
                <w:szCs w:val="28"/>
                <w:lang w:val="ro-RO"/>
              </w:rPr>
              <w:t>.</w:t>
            </w:r>
          </w:p>
        </w:tc>
      </w:tr>
    </w:tbl>
    <w:p w:rsidR="007661ED" w:rsidRPr="00177F49" w:rsidRDefault="007661ED" w:rsidP="007661ED">
      <w:pPr>
        <w:pStyle w:val="NormalWeb"/>
        <w:rPr>
          <w:sz w:val="28"/>
          <w:szCs w:val="28"/>
          <w:lang w:val="ro-RO"/>
        </w:rPr>
      </w:pPr>
    </w:p>
    <w:p w:rsidR="007661ED" w:rsidRPr="002A3E9E" w:rsidRDefault="007661ED" w:rsidP="007661ED">
      <w:pPr>
        <w:pStyle w:val="norm"/>
        <w:spacing w:before="0" w:beforeAutospacing="0" w:after="0" w:afterAutospacing="0"/>
        <w:rPr>
          <w:b/>
          <w:sz w:val="28"/>
          <w:szCs w:val="28"/>
          <w:lang w:eastAsia="en-US"/>
        </w:rPr>
      </w:pPr>
      <w:r w:rsidRPr="002A3E9E">
        <w:rPr>
          <w:b/>
          <w:sz w:val="28"/>
          <w:szCs w:val="28"/>
          <w:lang w:eastAsia="en-US"/>
        </w:rPr>
        <w:t xml:space="preserve">Раздел E –  Предложение </w:t>
      </w:r>
    </w:p>
    <w:p w:rsidR="007661ED" w:rsidRPr="00177F49" w:rsidRDefault="007661ED" w:rsidP="007661ED">
      <w:pPr>
        <w:pStyle w:val="norm"/>
        <w:spacing w:before="0" w:beforeAutospacing="0" w:after="0" w:afterAutospacing="0"/>
        <w:rPr>
          <w:b/>
          <w:sz w:val="28"/>
          <w:szCs w:val="28"/>
          <w:lang w:val="ro-RO" w:eastAsia="en-US"/>
        </w:rPr>
      </w:pPr>
    </w:p>
    <w:tbl>
      <w:tblPr>
        <w:tblW w:w="9781" w:type="dxa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2"/>
        <w:gridCol w:w="8609"/>
      </w:tblGrid>
      <w:tr w:rsidR="007661ED" w:rsidRPr="00177F49" w:rsidTr="006366D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norm"/>
              <w:rPr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Елемент</w:t>
            </w:r>
            <w:proofErr w:type="spellEnd"/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norm"/>
              <w:rPr>
                <w:b/>
                <w:sz w:val="28"/>
                <w:szCs w:val="28"/>
                <w:lang w:val="ro-RO"/>
              </w:rPr>
            </w:pPr>
            <w:r w:rsidRPr="002A3E9E">
              <w:rPr>
                <w:b/>
                <w:sz w:val="28"/>
                <w:szCs w:val="28"/>
                <w:lang w:val="ru-RU"/>
              </w:rPr>
              <w:t>Требование к рекламе</w:t>
            </w:r>
            <w:r w:rsidRPr="00177F49">
              <w:rPr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7661ED" w:rsidRPr="00177F49" w:rsidTr="006366D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left"/>
              <w:rPr>
                <w:sz w:val="28"/>
                <w:szCs w:val="28"/>
                <w:lang w:val="ro-RO"/>
              </w:rPr>
            </w:pPr>
            <w:r w:rsidRPr="00177F49">
              <w:rPr>
                <w:sz w:val="28"/>
                <w:szCs w:val="28"/>
              </w:rPr>
              <w:t>E.1</w:t>
            </w:r>
            <w:r w:rsidRPr="00177F49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norm"/>
              <w:rPr>
                <w:sz w:val="28"/>
                <w:szCs w:val="28"/>
                <w:lang w:val="ro-RO"/>
              </w:rPr>
            </w:pPr>
            <w:r w:rsidRPr="002A3E9E">
              <w:rPr>
                <w:sz w:val="28"/>
                <w:szCs w:val="28"/>
                <w:lang w:val="ru-RU"/>
              </w:rPr>
              <w:t>Описание условий предложения</w:t>
            </w:r>
            <w:r w:rsidRPr="00177F49">
              <w:rPr>
                <w:sz w:val="28"/>
                <w:szCs w:val="28"/>
                <w:lang w:val="ro-RO"/>
              </w:rPr>
              <w:t>.</w:t>
            </w:r>
          </w:p>
        </w:tc>
      </w:tr>
      <w:tr w:rsidR="007661ED" w:rsidRPr="004225D2" w:rsidTr="006366DA">
        <w:trPr>
          <w:trHeight w:val="58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left"/>
              <w:rPr>
                <w:sz w:val="28"/>
                <w:szCs w:val="28"/>
                <w:lang w:val="ro-RO"/>
              </w:rPr>
            </w:pPr>
            <w:r w:rsidRPr="00177F49">
              <w:rPr>
                <w:sz w:val="28"/>
                <w:szCs w:val="28"/>
              </w:rPr>
              <w:t>E.2</w:t>
            </w:r>
            <w:r w:rsidRPr="00177F49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norm"/>
              <w:rPr>
                <w:sz w:val="28"/>
                <w:szCs w:val="28"/>
                <w:lang w:val="ro-RO"/>
              </w:rPr>
            </w:pPr>
            <w:r w:rsidRPr="002A3E9E">
              <w:rPr>
                <w:sz w:val="28"/>
                <w:szCs w:val="28"/>
                <w:lang w:val="ru-RU"/>
              </w:rPr>
              <w:t>Описание всех интересов, которые могли бы повлиять на эмиссию/предложение, в том числе конфликтных</w:t>
            </w:r>
            <w:r w:rsidRPr="00177F49">
              <w:rPr>
                <w:sz w:val="28"/>
                <w:szCs w:val="28"/>
                <w:lang w:val="ro-RO"/>
              </w:rPr>
              <w:t>.</w:t>
            </w:r>
          </w:p>
        </w:tc>
      </w:tr>
      <w:tr w:rsidR="007661ED" w:rsidRPr="004225D2" w:rsidTr="006366D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left"/>
              <w:rPr>
                <w:sz w:val="28"/>
                <w:szCs w:val="28"/>
                <w:lang w:val="ro-RO"/>
              </w:rPr>
            </w:pPr>
            <w:r w:rsidRPr="00177F49">
              <w:rPr>
                <w:sz w:val="28"/>
                <w:szCs w:val="28"/>
              </w:rPr>
              <w:t>E.3</w:t>
            </w:r>
            <w:r w:rsidRPr="00177F49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1ED" w:rsidRPr="00177F49" w:rsidRDefault="007661ED" w:rsidP="006366DA">
            <w:pPr>
              <w:pStyle w:val="tbl-norm"/>
              <w:rPr>
                <w:sz w:val="28"/>
                <w:szCs w:val="28"/>
                <w:lang w:val="ro-RO"/>
              </w:rPr>
            </w:pPr>
            <w:r w:rsidRPr="002A3E9E">
              <w:rPr>
                <w:sz w:val="28"/>
                <w:szCs w:val="28"/>
                <w:lang w:val="ru-RU"/>
              </w:rPr>
              <w:t xml:space="preserve">Оценка расходов, взимаемых </w:t>
            </w:r>
            <w:r>
              <w:rPr>
                <w:sz w:val="28"/>
                <w:szCs w:val="28"/>
                <w:lang w:val="ru-RU"/>
              </w:rPr>
              <w:t xml:space="preserve">с </w:t>
            </w:r>
            <w:r w:rsidRPr="002A3E9E">
              <w:rPr>
                <w:sz w:val="28"/>
                <w:szCs w:val="28"/>
                <w:lang w:val="ru-RU"/>
              </w:rPr>
              <w:t>инвестор</w:t>
            </w:r>
            <w:r>
              <w:rPr>
                <w:sz w:val="28"/>
                <w:szCs w:val="28"/>
                <w:lang w:val="ru-RU"/>
              </w:rPr>
              <w:t xml:space="preserve">ов </w:t>
            </w:r>
            <w:r w:rsidRPr="002A3E9E">
              <w:rPr>
                <w:sz w:val="28"/>
                <w:szCs w:val="28"/>
                <w:lang w:val="ru-RU"/>
              </w:rPr>
              <w:t xml:space="preserve"> эмитентом или </w:t>
            </w:r>
            <w:proofErr w:type="spellStart"/>
            <w:r w:rsidRPr="002A3E9E">
              <w:rPr>
                <w:sz w:val="28"/>
                <w:szCs w:val="28"/>
                <w:lang w:val="ru-RU"/>
              </w:rPr>
              <w:t>офер</w:t>
            </w:r>
            <w:r>
              <w:rPr>
                <w:sz w:val="28"/>
                <w:szCs w:val="28"/>
                <w:lang w:val="ru-RU"/>
              </w:rPr>
              <w:t>тантом</w:t>
            </w:r>
            <w:proofErr w:type="spellEnd"/>
            <w:proofErr w:type="gramStart"/>
            <w:r w:rsidRPr="002A3E9E">
              <w:rPr>
                <w:sz w:val="28"/>
                <w:szCs w:val="28"/>
                <w:lang w:val="ru-RU"/>
              </w:rPr>
              <w:t xml:space="preserve"> </w:t>
            </w:r>
            <w:r w:rsidRPr="00177F49">
              <w:rPr>
                <w:sz w:val="28"/>
                <w:szCs w:val="28"/>
                <w:lang w:val="ro-RO"/>
              </w:rPr>
              <w:t>.</w:t>
            </w:r>
            <w:proofErr w:type="gramEnd"/>
          </w:p>
        </w:tc>
      </w:tr>
    </w:tbl>
    <w:p w:rsidR="007661ED" w:rsidRDefault="007661ED">
      <w:bookmarkStart w:id="0" w:name="_GoBack"/>
      <w:bookmarkEnd w:id="0"/>
    </w:p>
    <w:sectPr w:rsidR="00766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4265"/>
    <w:multiLevelType w:val="hybridMultilevel"/>
    <w:tmpl w:val="62224872"/>
    <w:lvl w:ilvl="0" w:tplc="389AFC16">
      <w:start w:val="1"/>
      <w:numFmt w:val="bullet"/>
      <w:lvlText w:val="-"/>
      <w:lvlJc w:val="left"/>
      <w:pPr>
        <w:ind w:left="4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ED"/>
    <w:rsid w:val="0076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ED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qFormat/>
    <w:rsid w:val="007661E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/>
      <w:sz w:val="24"/>
      <w:szCs w:val="24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1ED"/>
    <w:rPr>
      <w:rFonts w:ascii="Times New Roman CYR" w:eastAsia="Times New Roman" w:hAnsi="Times New Roman CYR" w:cs="Times New Roman"/>
      <w:sz w:val="24"/>
      <w:szCs w:val="24"/>
      <w:lang w:val="x-none" w:eastAsia="ru-RU"/>
    </w:rPr>
  </w:style>
  <w:style w:type="paragraph" w:styleId="NoSpacing">
    <w:name w:val="No Spacing"/>
    <w:link w:val="NoSpacingChar"/>
    <w:uiPriority w:val="1"/>
    <w:qFormat/>
    <w:rsid w:val="007661E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7661ED"/>
    <w:rPr>
      <w:rFonts w:ascii="Calibri" w:eastAsia="Calibri" w:hAnsi="Calibri" w:cs="Times New Roman"/>
      <w:lang w:val="ru-RU"/>
    </w:rPr>
  </w:style>
  <w:style w:type="paragraph" w:customStyle="1" w:styleId="norm">
    <w:name w:val="norm"/>
    <w:basedOn w:val="Normal"/>
    <w:rsid w:val="0076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face">
    <w:name w:val="boldface"/>
    <w:basedOn w:val="DefaultParagraphFont"/>
    <w:rsid w:val="007661ED"/>
  </w:style>
  <w:style w:type="paragraph" w:styleId="NormalWeb">
    <w:name w:val="Normal (Web)"/>
    <w:basedOn w:val="Normal"/>
    <w:link w:val="NormalWebChar"/>
    <w:uiPriority w:val="99"/>
    <w:unhideWhenUsed/>
    <w:rsid w:val="007661E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NormalWebChar">
    <w:name w:val="Normal (Web) Char"/>
    <w:link w:val="NormalWeb"/>
    <w:uiPriority w:val="99"/>
    <w:rsid w:val="007661E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italics">
    <w:name w:val="italics"/>
    <w:basedOn w:val="DefaultParagraphFont"/>
    <w:rsid w:val="007661ED"/>
  </w:style>
  <w:style w:type="paragraph" w:customStyle="1" w:styleId="tbl-norm">
    <w:name w:val="tbl-norm"/>
    <w:basedOn w:val="Normal"/>
    <w:rsid w:val="0076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bl-left">
    <w:name w:val="tbl-left"/>
    <w:basedOn w:val="Normal"/>
    <w:rsid w:val="0076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tem-none">
    <w:name w:val="item-none"/>
    <w:basedOn w:val="Normal"/>
    <w:rsid w:val="0076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ED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qFormat/>
    <w:rsid w:val="007661E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/>
      <w:sz w:val="24"/>
      <w:szCs w:val="24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1ED"/>
    <w:rPr>
      <w:rFonts w:ascii="Times New Roman CYR" w:eastAsia="Times New Roman" w:hAnsi="Times New Roman CYR" w:cs="Times New Roman"/>
      <w:sz w:val="24"/>
      <w:szCs w:val="24"/>
      <w:lang w:val="x-none" w:eastAsia="ru-RU"/>
    </w:rPr>
  </w:style>
  <w:style w:type="paragraph" w:styleId="NoSpacing">
    <w:name w:val="No Spacing"/>
    <w:link w:val="NoSpacingChar"/>
    <w:uiPriority w:val="1"/>
    <w:qFormat/>
    <w:rsid w:val="007661E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7661ED"/>
    <w:rPr>
      <w:rFonts w:ascii="Calibri" w:eastAsia="Calibri" w:hAnsi="Calibri" w:cs="Times New Roman"/>
      <w:lang w:val="ru-RU"/>
    </w:rPr>
  </w:style>
  <w:style w:type="paragraph" w:customStyle="1" w:styleId="norm">
    <w:name w:val="norm"/>
    <w:basedOn w:val="Normal"/>
    <w:rsid w:val="0076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face">
    <w:name w:val="boldface"/>
    <w:basedOn w:val="DefaultParagraphFont"/>
    <w:rsid w:val="007661ED"/>
  </w:style>
  <w:style w:type="paragraph" w:styleId="NormalWeb">
    <w:name w:val="Normal (Web)"/>
    <w:basedOn w:val="Normal"/>
    <w:link w:val="NormalWebChar"/>
    <w:uiPriority w:val="99"/>
    <w:unhideWhenUsed/>
    <w:rsid w:val="007661E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NormalWebChar">
    <w:name w:val="Normal (Web) Char"/>
    <w:link w:val="NormalWeb"/>
    <w:uiPriority w:val="99"/>
    <w:rsid w:val="007661E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italics">
    <w:name w:val="italics"/>
    <w:basedOn w:val="DefaultParagraphFont"/>
    <w:rsid w:val="007661ED"/>
  </w:style>
  <w:style w:type="paragraph" w:customStyle="1" w:styleId="tbl-norm">
    <w:name w:val="tbl-norm"/>
    <w:basedOn w:val="Normal"/>
    <w:rsid w:val="0076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bl-left">
    <w:name w:val="tbl-left"/>
    <w:basedOn w:val="Normal"/>
    <w:rsid w:val="0076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tem-none">
    <w:name w:val="item-none"/>
    <w:basedOn w:val="Normal"/>
    <w:rsid w:val="0076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2018-05-31T11:25:00Z</dcterms:created>
  <dcterms:modified xsi:type="dcterms:W3CDTF">2018-05-31T11:26:00Z</dcterms:modified>
</cp:coreProperties>
</file>